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1C" w:rsidRPr="007B6B9D" w:rsidRDefault="0078541C" w:rsidP="007B6B9D">
      <w:pPr>
        <w:pStyle w:val="BodyTextIndent2"/>
        <w:spacing w:after="200" w:line="360" w:lineRule="auto"/>
        <w:ind w:left="0"/>
        <w:jc w:val="both"/>
        <w:rPr>
          <w:rFonts w:ascii="Arial" w:hAnsi="Arial" w:cs="Arial"/>
          <w:b/>
          <w:lang w:val="ro-RO"/>
        </w:rPr>
      </w:pPr>
      <w:r w:rsidRPr="007B6B9D">
        <w:rPr>
          <w:rFonts w:ascii="Arial" w:hAnsi="Arial" w:cs="Arial"/>
          <w:b/>
          <w:i/>
          <w:lang w:val="ro-RO"/>
        </w:rPr>
        <w:t>Planiranje</w:t>
      </w:r>
      <w:bookmarkStart w:id="0" w:name="_GoBack"/>
      <w:bookmarkEnd w:id="0"/>
      <w:r w:rsidRPr="007B6B9D">
        <w:rPr>
          <w:rFonts w:ascii="Arial" w:hAnsi="Arial" w:cs="Arial"/>
          <w:b/>
          <w:i/>
          <w:lang w:val="ro-RO"/>
        </w:rPr>
        <w:t xml:space="preserve"> profesionalne orijentacije đece s posebnim obrazovnim potrebama - Prilagođavanje uslova, pristupa, materijala u odnosu na smetnju u razvoju</w:t>
      </w:r>
    </w:p>
    <w:p w:rsidR="00A100B6" w:rsidRPr="00A100B6" w:rsidRDefault="00A100B6" w:rsidP="00A100B6">
      <w:pPr>
        <w:pStyle w:val="BodyTextIndent2"/>
        <w:spacing w:after="200" w:line="360" w:lineRule="auto"/>
        <w:ind w:left="0" w:firstLine="720"/>
        <w:jc w:val="both"/>
        <w:rPr>
          <w:rFonts w:ascii="Arial" w:hAnsi="Arial" w:cs="Arial"/>
          <w:bCs/>
          <w:shd w:val="clear" w:color="auto" w:fill="FFFFFF"/>
          <w:lang w:val="sr-Latn-ME"/>
        </w:rPr>
      </w:pPr>
      <w:r w:rsidRPr="00FC59CC">
        <w:rPr>
          <w:rStyle w:val="Bodytext0"/>
          <w:rFonts w:ascii="Arial" w:hAnsi="Arial" w:cs="Arial"/>
          <w:b w:val="0"/>
          <w:sz w:val="22"/>
          <w:szCs w:val="22"/>
          <w:lang w:val="sr-Latn-ME"/>
        </w:rPr>
        <w:t>Mjere koje treba sprovesti na nivou politika, ali i neposredne prakse</w:t>
      </w:r>
      <w:r>
        <w:rPr>
          <w:rStyle w:val="Bodytext0"/>
          <w:rFonts w:ascii="Arial" w:hAnsi="Arial" w:cs="Arial"/>
          <w:b w:val="0"/>
          <w:sz w:val="22"/>
          <w:szCs w:val="22"/>
          <w:lang w:val="sr-Latn-ME"/>
        </w:rPr>
        <w:t xml:space="preserve"> u pogledu prava đece sa smetnjama u razvoju na profrsionalno osposbljavanje i dalje zapošljavanje</w:t>
      </w:r>
      <w:r w:rsidRPr="00FC59CC">
        <w:rPr>
          <w:rStyle w:val="Bodytext0"/>
          <w:rFonts w:ascii="Arial" w:hAnsi="Arial" w:cs="Arial"/>
          <w:b w:val="0"/>
          <w:sz w:val="22"/>
          <w:szCs w:val="22"/>
          <w:lang w:val="sr-Latn-ME"/>
        </w:rPr>
        <w:t xml:space="preserve"> se odnose na obrazovne aktivnosti, one iz oblasti socijalnog staranja i u odnosu n</w:t>
      </w:r>
      <w:r>
        <w:rPr>
          <w:rStyle w:val="Bodytext0"/>
          <w:rFonts w:ascii="Arial" w:hAnsi="Arial" w:cs="Arial"/>
          <w:b w:val="0"/>
          <w:sz w:val="22"/>
          <w:szCs w:val="22"/>
          <w:lang w:val="sr-Latn-ME"/>
        </w:rPr>
        <w:t xml:space="preserve">a tržište rada i zapošljavanja. </w:t>
      </w:r>
      <w:r w:rsidRPr="00FC59CC">
        <w:rPr>
          <w:rFonts w:ascii="Arial" w:hAnsi="Arial" w:cs="Arial"/>
          <w:shd w:val="clear" w:color="auto" w:fill="FFFFFF"/>
          <w:lang w:val="sr-Latn-ME"/>
        </w:rPr>
        <w:t xml:space="preserve">Međusektorska povezanost oblasti: obrazovanje, socijalna zaštita, zapošljavanje treba da se kreće u smjeru kontinuiteta karijerne orijentacije i zapošljavanja mladih s posebnim obrazovnim potrebama. </w:t>
      </w:r>
    </w:p>
    <w:p w:rsidR="00A100B6" w:rsidRPr="00FC59CC" w:rsidRDefault="00A100B6" w:rsidP="00A100B6">
      <w:pPr>
        <w:pStyle w:val="BodyTextIndent2"/>
        <w:spacing w:after="200" w:line="360" w:lineRule="auto"/>
        <w:ind w:left="0" w:firstLine="720"/>
        <w:jc w:val="both"/>
        <w:rPr>
          <w:rStyle w:val="Bodytext0"/>
          <w:rFonts w:ascii="Arial" w:hAnsi="Arial" w:cs="Arial"/>
          <w:b w:val="0"/>
          <w:sz w:val="22"/>
          <w:szCs w:val="22"/>
          <w:lang w:val="sr-Latn-ME"/>
        </w:rPr>
      </w:pPr>
      <w:r w:rsidRPr="00FC59CC">
        <w:rPr>
          <w:rStyle w:val="Bodytext0"/>
          <w:rFonts w:ascii="Arial" w:hAnsi="Arial" w:cs="Arial"/>
          <w:b w:val="0"/>
          <w:sz w:val="22"/>
          <w:szCs w:val="22"/>
          <w:lang w:val="sr-Latn-ME"/>
        </w:rPr>
        <w:t>Potrebno je obezbijediti da se aktivnosti i mjere odvijaju na nekoliko nivoa da bi se proces učinio dostupnim:</w:t>
      </w:r>
    </w:p>
    <w:p w:rsidR="00A100B6" w:rsidRPr="00FC59CC" w:rsidRDefault="00A100B6" w:rsidP="00A100B6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b/>
          <w:lang w:val="sr-Latn-ME"/>
        </w:rPr>
        <w:t>1.</w:t>
      </w:r>
      <w:r w:rsidRPr="00FC59CC">
        <w:rPr>
          <w:rFonts w:ascii="Arial" w:hAnsi="Arial" w:cs="Arial"/>
          <w:lang w:val="sr-Latn-ME"/>
        </w:rPr>
        <w:t xml:space="preserve"> Prevazići fizičke ili arhitektonske prepreke; </w:t>
      </w:r>
    </w:p>
    <w:p w:rsidR="00A100B6" w:rsidRPr="00FC59CC" w:rsidRDefault="00A100B6" w:rsidP="00A100B6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b/>
          <w:lang w:val="sr-Latn-ME"/>
        </w:rPr>
        <w:t>2.</w:t>
      </w:r>
      <w:r w:rsidRPr="00FC59CC">
        <w:rPr>
          <w:rFonts w:ascii="Arial" w:hAnsi="Arial" w:cs="Arial"/>
          <w:lang w:val="sr-Latn-ME"/>
        </w:rPr>
        <w:t xml:space="preserve"> Omogućiti pristup informacijama i komunikacijama;</w:t>
      </w:r>
    </w:p>
    <w:p w:rsidR="00A100B6" w:rsidRPr="00FC59CC" w:rsidRDefault="00A100B6" w:rsidP="00A100B6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b/>
          <w:lang w:val="sr-Latn-ME"/>
        </w:rPr>
        <w:t>3.</w:t>
      </w:r>
      <w:r w:rsidRPr="00FC59CC">
        <w:rPr>
          <w:rFonts w:ascii="Arial" w:hAnsi="Arial" w:cs="Arial"/>
          <w:lang w:val="sr-Latn-ME"/>
        </w:rPr>
        <w:t xml:space="preserve"> Otkloniti psiho-socijalne prepreke – stavove, vrijednosti, postupanje; </w:t>
      </w:r>
    </w:p>
    <w:p w:rsidR="00A100B6" w:rsidRPr="00FC59CC" w:rsidRDefault="00A100B6" w:rsidP="00A100B6">
      <w:pPr>
        <w:spacing w:line="360" w:lineRule="auto"/>
        <w:ind w:firstLine="720"/>
        <w:jc w:val="both"/>
        <w:rPr>
          <w:rFonts w:ascii="Arial" w:hAnsi="Arial" w:cs="Arial"/>
          <w:bCs/>
          <w:lang w:val="sr-Latn-ME"/>
        </w:rPr>
      </w:pPr>
      <w:r w:rsidRPr="00FC59CC">
        <w:rPr>
          <w:rFonts w:ascii="Arial" w:hAnsi="Arial" w:cs="Arial"/>
          <w:b/>
          <w:lang w:val="sr-Latn-ME"/>
        </w:rPr>
        <w:t>4.</w:t>
      </w:r>
      <w:r w:rsidRPr="00FC59CC">
        <w:rPr>
          <w:rFonts w:ascii="Arial" w:hAnsi="Arial" w:cs="Arial"/>
          <w:lang w:val="sr-Latn-ME"/>
        </w:rPr>
        <w:t xml:space="preserve"> Riješiti institucionalne prepreke – otvoreni, dostupni, adekvatni servisi.</w:t>
      </w:r>
    </w:p>
    <w:p w:rsidR="00A100B6" w:rsidRPr="00FC59CC" w:rsidRDefault="00A100B6" w:rsidP="00A100B6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sr-Latn-ME"/>
        </w:rPr>
      </w:pPr>
      <w:r w:rsidRPr="00FC59CC">
        <w:rPr>
          <w:rFonts w:ascii="Arial" w:hAnsi="Arial" w:cs="Arial"/>
          <w:shd w:val="clear" w:color="auto" w:fill="FFFFFF"/>
          <w:lang w:val="sr-Latn-ME"/>
        </w:rPr>
        <w:t xml:space="preserve">Stvaraju se preduslovi, mjere saradnički planiraju na rezultatima, promovišu procedure, rješenja, savjetodavni, praktični i mehanizmi praćenja. </w:t>
      </w:r>
    </w:p>
    <w:p w:rsidR="00A100B6" w:rsidRPr="00FC59CC" w:rsidRDefault="00A100B6" w:rsidP="00A100B6">
      <w:pPr>
        <w:spacing w:line="360" w:lineRule="auto"/>
        <w:ind w:firstLine="708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>Tokom</w:t>
      </w:r>
      <w:r w:rsidRPr="00FC59CC">
        <w:rPr>
          <w:rFonts w:ascii="Arial" w:hAnsi="Arial" w:cs="Arial"/>
          <w:i/>
          <w:lang w:val="sr-Latn-ME"/>
        </w:rPr>
        <w:t xml:space="preserve"> </w:t>
      </w:r>
      <w:r w:rsidRPr="00FC59CC">
        <w:rPr>
          <w:rFonts w:ascii="Arial" w:hAnsi="Arial" w:cs="Arial"/>
          <w:lang w:val="sr-Latn-ME"/>
        </w:rPr>
        <w:t>profesionalne orijentacije se ostvaruje nekoliko koraka:</w:t>
      </w:r>
    </w:p>
    <w:p w:rsidR="00A100B6" w:rsidRPr="00FC59CC" w:rsidRDefault="00A100B6" w:rsidP="00A100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 xml:space="preserve">identifikuju osobine, sposobnosti, interesovanja, </w:t>
      </w:r>
    </w:p>
    <w:p w:rsidR="00A100B6" w:rsidRPr="00FC59CC" w:rsidRDefault="00A100B6" w:rsidP="00A100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 xml:space="preserve">razvija se inicijativa za traženje informacija i ponude, </w:t>
      </w:r>
    </w:p>
    <w:p w:rsidR="00A100B6" w:rsidRPr="00FC59CC" w:rsidRDefault="00A100B6" w:rsidP="00A100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 xml:space="preserve">uvažava mišljenje roditelja, </w:t>
      </w:r>
    </w:p>
    <w:p w:rsidR="00A100B6" w:rsidRPr="00FC59CC" w:rsidRDefault="00A100B6" w:rsidP="00A100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 xml:space="preserve">sagledaju prepreke za izbor zanimanja i </w:t>
      </w:r>
    </w:p>
    <w:p w:rsidR="00A100B6" w:rsidRPr="00FC59CC" w:rsidRDefault="00A100B6" w:rsidP="00A100B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>utiče na optimalno planiranje i ostvarivanje karijere.</w:t>
      </w:r>
    </w:p>
    <w:p w:rsidR="00A100B6" w:rsidRPr="00FC59CC" w:rsidRDefault="00A100B6" w:rsidP="00A100B6">
      <w:pPr>
        <w:spacing w:line="360" w:lineRule="auto"/>
        <w:ind w:firstLine="708"/>
        <w:jc w:val="both"/>
        <w:rPr>
          <w:rFonts w:ascii="Arial" w:hAnsi="Arial" w:cs="Arial"/>
          <w:lang w:val="sr-Latn-ME"/>
        </w:rPr>
      </w:pPr>
      <w:r w:rsidRPr="00FC59CC">
        <w:rPr>
          <w:rFonts w:ascii="Arial" w:hAnsi="Arial" w:cs="Arial"/>
          <w:lang w:val="sr-Latn-ME"/>
        </w:rPr>
        <w:t xml:space="preserve">Prepoznaju se i otklanjaju razlozi koji dovode da izbori budu pogrešni i učinjeni pod pritiskom, kao na primjer predrasude poslodavaca u vezi sa angažovanjem mladih ljudi s invaliditetom, strahovi i protektivan odnos roditelja. Učenici se stavljaju u aktivnu i poziciju participacije, podiže im se samopouzdanje u odnosu na lične kompetencije, nivo sigurnosti za mogućnosti zapošljavanja. </w:t>
      </w:r>
    </w:p>
    <w:p w:rsidR="00A100B6" w:rsidRDefault="00A100B6" w:rsidP="007B6B9D">
      <w:pPr>
        <w:spacing w:after="0" w:line="360" w:lineRule="auto"/>
        <w:ind w:firstLine="720"/>
        <w:jc w:val="both"/>
        <w:rPr>
          <w:rFonts w:ascii="Arial" w:hAnsi="Arial" w:cs="Arial"/>
          <w:lang w:val="ro-RO"/>
        </w:rPr>
      </w:pPr>
    </w:p>
    <w:p w:rsidR="00A100B6" w:rsidRDefault="00A100B6" w:rsidP="007B6B9D">
      <w:pPr>
        <w:spacing w:after="0" w:line="360" w:lineRule="auto"/>
        <w:ind w:firstLine="720"/>
        <w:jc w:val="both"/>
        <w:rPr>
          <w:rFonts w:ascii="Arial" w:hAnsi="Arial" w:cs="Arial"/>
          <w:lang w:val="ro-RO"/>
        </w:rPr>
      </w:pP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ascii="Arial" w:hAnsi="Arial" w:cs="Arial"/>
          <w:lang w:val="ro-RO"/>
        </w:rPr>
      </w:pPr>
      <w:r w:rsidRPr="007B6B9D">
        <w:rPr>
          <w:rFonts w:ascii="Arial" w:hAnsi="Arial" w:cs="Arial"/>
          <w:lang w:val="ro-RO"/>
        </w:rPr>
        <w:t>Da bismo učinili primjerenim ambijent, atmosferu, uslove, način, postupak, pristup prema đeci tokom procjene najprije ćemo ukratko predstaviti karakteristike i potrebe đece sa smetnjama u razvoju od značaja za ovaj proces.</w:t>
      </w: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ascii="Arial" w:hAnsi="Arial" w:cs="Arial"/>
          <w:lang w:val="ro-RO"/>
        </w:rPr>
      </w:pPr>
      <w:r w:rsidRPr="007B6B9D">
        <w:rPr>
          <w:rFonts w:ascii="Arial" w:hAnsi="Arial" w:cs="Arial"/>
          <w:lang w:val="ro-RO"/>
        </w:rPr>
        <w:t>Prije svega ukazujemo da je važno da se procjena odvija u poznatom ambijentu u prostorijama stručne službe, ali i opservacija prema oblastima u realnim situacijama (čas, porodično okruženje, vršnjačka interakcija, neka firma i sl).</w:t>
      </w: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B6B9D">
        <w:rPr>
          <w:rFonts w:ascii="Arial" w:hAnsi="Arial" w:cs="Arial"/>
          <w:b/>
          <w:lang w:val="uz-Cyrl-UZ"/>
        </w:rPr>
        <w:t xml:space="preserve">Smetnje iz spektra autizma - </w:t>
      </w:r>
      <w:r w:rsidRPr="007B6B9D">
        <w:rPr>
          <w:rFonts w:ascii="Arial" w:hAnsi="Arial" w:cs="Arial"/>
          <w:lang w:val="uz-Cyrl-UZ"/>
        </w:rPr>
        <w:t xml:space="preserve">Đeca s autizmom najbolje rade u okruženju koje je dobro strukturisano, zasnovano na organizovanosti, rutinama, usmjerenosti, funkcionalnosti. </w:t>
      </w:r>
      <w:r w:rsidRPr="007B6B9D">
        <w:rPr>
          <w:rFonts w:ascii="Arial" w:hAnsi="Arial" w:cs="Arial"/>
        </w:rPr>
        <w:t xml:space="preserve">Odredite miran kutak za rad, </w:t>
      </w:r>
      <w:r w:rsidRPr="007B6B9D">
        <w:rPr>
          <w:rFonts w:ascii="Arial" w:hAnsi="Arial" w:cs="Arial"/>
          <w:lang w:val="uz-Cyrl-UZ"/>
        </w:rPr>
        <w:t xml:space="preserve">obezbijedite samo materijal koji je potreban za konkretne zadatke. Lakše funkcionišu kada su informacije prikazane u vizuelnom obliku. Materijal treba prilagoditi tako da je koncipiran kroz rasporede, liste za provjeru aktivnosti, planere i ploče s izborom aktivnosti. Kroz društvene priče koje se ciljano osmišljavaju u odnosu na određene i konkretne socijalne situacije pojedinog đeteta, koje su slikovito prikazane, sugerišu se uputstva i primjerene reakcije. </w:t>
      </w:r>
      <w:r w:rsidRPr="007B6B9D">
        <w:rPr>
          <w:rFonts w:ascii="Arial" w:hAnsi="Arial" w:cs="Arial"/>
        </w:rPr>
        <w:t xml:space="preserve">Pravila i organizacija treba da budu jasna i ukazuju na to: što treba da radi; koliko vremena će da traje određena aktivnost; kada se aktivnost završava; što sljedi nakon aktivnosti. Materijali ne treba da sadrže previše teksta već koristiti slikovne prikaze, sheme, dijagrame i mentalne mape. </w:t>
      </w:r>
      <w:r w:rsidRPr="007B6B9D">
        <w:rPr>
          <w:rFonts w:ascii="Arial" w:hAnsi="Arial" w:cs="Arial"/>
          <w:lang w:val="uz-Cyrl-UZ"/>
        </w:rPr>
        <w:t xml:space="preserve">Značajnu pomoć pružaju piktogrami, tj. simoblički prikaz pojave </w:t>
      </w:r>
      <w:r w:rsidRPr="007B6B9D">
        <w:rPr>
          <w:rFonts w:ascii="Arial" w:hAnsi="Arial" w:cs="Arial"/>
        </w:rPr>
        <w:t>(shematske sličice zanimanja: ljudi, alata, sredstava za rad, proizvoda rada i sl)</w:t>
      </w:r>
      <w:r w:rsidRPr="007B6B9D">
        <w:rPr>
          <w:rFonts w:ascii="Arial" w:hAnsi="Arial" w:cs="Arial"/>
          <w:lang w:val="uz-Cyrl-UZ"/>
        </w:rPr>
        <w:t xml:space="preserve">. </w:t>
      </w:r>
      <w:r w:rsidRPr="007B6B9D">
        <w:rPr>
          <w:rFonts w:ascii="Arial" w:hAnsi="Arial" w:cs="Arial"/>
        </w:rPr>
        <w:t>Informacije o zanimanjima treba da budu iskazane doslovno s konkretnom (bukvalnom) primjenom u životu fokusirani ka funkcionalnoj i iskustvenoj primjeni. Naravno, uz primjenu vizuelnih i strukturisanih pristupa.  Sličice bi trebale da budu veličine 4x4 cm ili 6x6 cm.</w:t>
      </w: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B6B9D">
        <w:rPr>
          <w:rFonts w:ascii="Arial" w:hAnsi="Arial" w:cs="Arial"/>
          <w:b/>
          <w:lang w:val="uz-Cyrl-UZ"/>
        </w:rPr>
        <w:t xml:space="preserve">Intelektualne smetnje - </w:t>
      </w:r>
      <w:r w:rsidRPr="007B6B9D">
        <w:rPr>
          <w:rFonts w:ascii="Arial" w:hAnsi="Arial" w:cs="Arial"/>
          <w:noProof/>
          <w:lang w:val="uz-Cyrl-UZ"/>
        </w:rPr>
        <w:t xml:space="preserve">Đeci s intelektualnim smetnjama informacije treba da su konkretne, s primjerima iz neposrednog okruženja i iskustva. Koncentracija se može postići kada se na minimum svedu drugi stimulusi iz okruženja. S obzirom da </w:t>
      </w:r>
      <w:r w:rsidRPr="007B6B9D">
        <w:rPr>
          <w:rFonts w:ascii="Arial" w:eastAsia="Calibri" w:hAnsi="Arial" w:cs="Arial"/>
          <w:noProof/>
          <w:lang w:val="uz-Cyrl-UZ"/>
        </w:rPr>
        <w:t xml:space="preserve">razumiju konkretne, jednostavne verbalne naloge, treba postavljati tzv. zatvorena pitanja tako da </w:t>
      </w:r>
      <w:r w:rsidRPr="007B6B9D">
        <w:rPr>
          <w:rFonts w:ascii="Arial" w:hAnsi="Arial" w:cs="Arial"/>
          <w:noProof/>
          <w:lang w:val="uz-Cyrl-UZ"/>
        </w:rPr>
        <w:t>odgovori budu DA/NE</w:t>
      </w:r>
      <w:r w:rsidRPr="007B6B9D">
        <w:rPr>
          <w:rFonts w:ascii="Arial" w:eastAsia="Calibri" w:hAnsi="Arial" w:cs="Arial"/>
          <w:noProof/>
          <w:lang w:val="uz-Cyrl-UZ"/>
        </w:rPr>
        <w:t xml:space="preserve">. Pogoduju im </w:t>
      </w:r>
      <w:r w:rsidRPr="007B6B9D">
        <w:rPr>
          <w:rFonts w:ascii="Arial" w:hAnsi="Arial" w:cs="Arial"/>
          <w:noProof/>
          <w:lang w:val="uz-Cyrl-UZ"/>
        </w:rPr>
        <w:t xml:space="preserve">rasporedi, šeme, riječi, simboli, slike, podśetnici, procedure, različiti oblici, teksture, situacije, kartice sa skupovima i brojevima. </w:t>
      </w:r>
      <w:r w:rsidRPr="007B6B9D">
        <w:rPr>
          <w:rFonts w:ascii="Arial" w:hAnsi="Arial" w:cs="Arial"/>
          <w:spacing w:val="2"/>
          <w:lang w:val="uz-Cyrl-UZ"/>
        </w:rPr>
        <w:t>Neka uputstva budu jednostavna i razdvojena na male cjeline</w:t>
      </w:r>
      <w:r w:rsidRPr="007B6B9D">
        <w:rPr>
          <w:rFonts w:ascii="Arial" w:hAnsi="Arial" w:cs="Arial"/>
          <w:lang w:val="uz-Cyrl-UZ"/>
        </w:rPr>
        <w:t xml:space="preserve">, upotrebljavajte pokazivanje, sortiranje. Stvorite prilike za procjenu zasnovane na praktičnom iskustvu. </w:t>
      </w:r>
      <w:r w:rsidRPr="007B6B9D">
        <w:rPr>
          <w:rFonts w:ascii="Arial" w:hAnsi="Arial" w:cs="Arial"/>
        </w:rPr>
        <w:t xml:space="preserve">Ispitajte s kojim se dotadašnjim iskustvima đeteta može povezati sadržaj o izboru zanimanja, bilo iz škole ili svakodnevnoga života. Sadržaj predstavite i organizujte u vidu rasporeda, šema, koristeći riječi, simbole, slike. Kako bi dijete uspostavilo asocijacije upotrijebite </w:t>
      </w:r>
      <w:r w:rsidRPr="007B6B9D">
        <w:rPr>
          <w:rFonts w:ascii="Arial" w:hAnsi="Arial" w:cs="Arial"/>
        </w:rPr>
        <w:lastRenderedPageBreak/>
        <w:t>govor i jezik, pokret, emocije, i sl. Koristite memorijske kartice s jedne strane slika zanimanja, a sa druge naziv i kratak opis. Ponavljajte redovno postupak dok ne usvoji pojmove.</w:t>
      </w: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B6B9D">
        <w:rPr>
          <w:rFonts w:ascii="Arial" w:hAnsi="Arial" w:cs="Arial"/>
          <w:b/>
          <w:lang w:val="uz-Cyrl-UZ"/>
        </w:rPr>
        <w:t xml:space="preserve">Tjelesne smetnje – Prije svega </w:t>
      </w:r>
      <w:r w:rsidRPr="007B6B9D">
        <w:rPr>
          <w:rFonts w:ascii="Arial" w:hAnsi="Arial" w:cs="Arial"/>
        </w:rPr>
        <w:t xml:space="preserve">obezbijediti pristupačan prostor, bez barijera. </w:t>
      </w:r>
      <w:r w:rsidRPr="007B6B9D">
        <w:rPr>
          <w:rFonts w:ascii="Arial" w:hAnsi="Arial" w:cs="Arial"/>
          <w:noProof/>
          <w:lang w:val="uz-Cyrl-UZ"/>
        </w:rPr>
        <w:t>Nadalje se</w:t>
      </w:r>
      <w:r w:rsidRPr="007B6B9D">
        <w:rPr>
          <w:rFonts w:ascii="Arial" w:hAnsi="Arial" w:cs="Arial"/>
          <w:lang w:val="uz-Cyrl-UZ"/>
        </w:rPr>
        <w:t xml:space="preserve"> zahtijevaju pomagala, radni materijal, podrška pri kretanju, </w:t>
      </w:r>
      <w:bookmarkStart w:id="1" w:name="_Hlk527466257"/>
      <w:r w:rsidRPr="007B6B9D">
        <w:rPr>
          <w:rFonts w:ascii="Arial" w:hAnsi="Arial" w:cs="Arial"/>
          <w:lang w:val="uz-Cyrl-UZ"/>
        </w:rPr>
        <w:t>ś</w:t>
      </w:r>
      <w:bookmarkEnd w:id="1"/>
      <w:r w:rsidRPr="007B6B9D">
        <w:rPr>
          <w:rFonts w:ascii="Arial" w:hAnsi="Arial" w:cs="Arial"/>
          <w:lang w:val="uz-Cyrl-UZ"/>
        </w:rPr>
        <w:t xml:space="preserve">eđenju, rukovanju priborom i radnim materijalom, orijentaciji u prostoru i na papiru, pisanju, crtanju, govorno-jezičkom izražavanju i formulaciji, pa im je važna vizuelna podrška, više vremena. Pogoduju im sredstva koja koriste i đeca sa smetnjama vida. </w:t>
      </w:r>
      <w:r w:rsidRPr="007B6B9D">
        <w:rPr>
          <w:rFonts w:ascii="Arial" w:hAnsi="Arial" w:cs="Arial"/>
        </w:rPr>
        <w:t xml:space="preserve">Koristiti asistivnu tehnologiju ako olakšava rad. Tokom procjene instrumentom koristite pedagoške principe, kao što je očiglednost – neposredno percipiranje predmeta i pojava, praktično iskustvo, kao i predočavanje materijala u logičkome poretku. Koristite mogućnost zamjene teksta ilustracijama i primjenu slikovnoga materijala koji  treba da sadrži  redukovan tekst s više ilustracija bez puno detalja. Ređanjem ilustracija učenik će jednostavnije da doživi i razumije određena zanimanja i konkretno pokaže veći stepen zainteresovanosti prema nekim slikama (zanimanjima). </w:t>
      </w: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B6B9D">
        <w:rPr>
          <w:rFonts w:ascii="Arial" w:eastAsia="Times New Roman" w:hAnsi="Arial" w:cs="Arial"/>
          <w:b/>
          <w:lang w:val="uz-Cyrl-UZ"/>
        </w:rPr>
        <w:t xml:space="preserve">Smetnje vida - </w:t>
      </w:r>
      <w:r w:rsidRPr="007B6B9D">
        <w:rPr>
          <w:rFonts w:ascii="Arial" w:hAnsi="Arial" w:cs="Arial"/>
          <w:lang w:val="uz-Cyrl-UZ"/>
        </w:rPr>
        <w:t xml:space="preserve">Dijete sa smetnjama vida će biti uspješno uz očna-tiflotehnička pomagala, taktilni materijal, zvučnu podršku, adekvatno i individualno osvjetljenje, </w:t>
      </w:r>
      <w:r w:rsidRPr="007B6B9D">
        <w:rPr>
          <w:rFonts w:ascii="Arial" w:eastAsia="Calibri" w:hAnsi="Arial" w:cs="Arial"/>
          <w:lang w:val="uz-Cyrl-UZ"/>
        </w:rPr>
        <w:t>položaj koji mu omogućava najbolje viđenje, istaknuti i adekvatan font, podebljanja i sl.</w:t>
      </w:r>
      <w:r w:rsidRPr="007B6B9D">
        <w:rPr>
          <w:rFonts w:ascii="Arial" w:hAnsi="Arial" w:cs="Arial"/>
          <w:lang w:val="uz-Cyrl-UZ"/>
        </w:rPr>
        <w:t xml:space="preserve"> Tu su taktilno urađene slike, zvučne knjige, </w:t>
      </w:r>
      <w:r w:rsidRPr="007B6B9D">
        <w:rPr>
          <w:rFonts w:ascii="Arial" w:hAnsi="Arial" w:cs="Arial"/>
          <w:bCs/>
          <w:lang w:val="uz-Cyrl-UZ"/>
        </w:rPr>
        <w:t xml:space="preserve">materijal s naglašenim linijama, </w:t>
      </w:r>
      <w:r w:rsidRPr="007B6B9D">
        <w:rPr>
          <w:rFonts w:ascii="Arial" w:hAnsi="Arial" w:cs="Arial"/>
          <w:lang w:val="uz-Cyrl-UZ"/>
        </w:rPr>
        <w:t>font slova Times New Roman 14–20, čitač ekrana.</w:t>
      </w:r>
      <w:r w:rsidRPr="007B6B9D">
        <w:rPr>
          <w:rFonts w:ascii="Arial" w:eastAsia="Calibri" w:hAnsi="Arial" w:cs="Arial"/>
          <w:lang w:val="uz-Cyrl-UZ"/>
        </w:rPr>
        <w:t xml:space="preserve"> Ističemo ulogu Brajevog pisma. </w:t>
      </w:r>
      <w:r w:rsidRPr="007B6B9D">
        <w:rPr>
          <w:rFonts w:ascii="Arial" w:hAnsi="Arial" w:cs="Arial"/>
        </w:rPr>
        <w:t xml:space="preserve">Omogućite pisanje velikim štampanim slovima, koristite flomaster ili meku (B3) olovku. Koristite slike bez suvišnih detalja koje su kontrastno urađene ili taktilno preko reljefnih linija – optimalna veličina slike je 9–12cm. Opisujte cjelinu slike, a onda djelove. Taktilnu urađenu sliku povezujte s realnim predmetom, modelom ili maketom. Upotrijebite kontrastno urađeni predmet sa zasićenim bojama, kao i predmet taktilno urađen s različitošću teksture i materijala (hrapavo/glatko, plastično/gumeno) ili jasno odvajajućim taktilnim linijama, ako je predmet iz više djelova. Đetetu uvijek opisati predmet, model, sliku kao cjelinu i omogućiti mu da ih taktilno percipira. </w:t>
      </w:r>
    </w:p>
    <w:p w:rsidR="0078541C" w:rsidRPr="007B6B9D" w:rsidRDefault="0078541C" w:rsidP="007B6B9D">
      <w:pPr>
        <w:spacing w:after="0" w:line="360" w:lineRule="auto"/>
        <w:ind w:firstLine="720"/>
        <w:jc w:val="both"/>
        <w:rPr>
          <w:rFonts w:cstheme="minorHAnsi"/>
          <w:lang w:val="uz-Cyrl-UZ"/>
        </w:rPr>
      </w:pPr>
      <w:r w:rsidRPr="007B6B9D">
        <w:rPr>
          <w:rFonts w:ascii="Arial" w:hAnsi="Arial" w:cs="Arial"/>
          <w:b/>
          <w:lang w:val="uz-Cyrl-UZ"/>
        </w:rPr>
        <w:t xml:space="preserve">Smetnje sluha - </w:t>
      </w:r>
      <w:r w:rsidRPr="007B6B9D">
        <w:rPr>
          <w:rFonts w:ascii="Arial" w:hAnsi="Arial" w:cs="Arial"/>
          <w:lang w:val="uz-Cyrl-UZ"/>
        </w:rPr>
        <w:t xml:space="preserve">Kod smetnji sluha predlaže se upotreba kompjutera, omogućiti đetetu da śedi u blizini sagovornika, eliminisati zvukove u pozadini, </w:t>
      </w:r>
      <w:r w:rsidRPr="007B6B9D">
        <w:rPr>
          <w:rFonts w:ascii="Arial" w:hAnsi="Arial" w:cs="Arial"/>
        </w:rPr>
        <w:t xml:space="preserve">na stolicama pričvrstiti dodatke koji ublažavaju škripanje po podu. Koristiti što više </w:t>
      </w:r>
      <w:r w:rsidRPr="007B6B9D">
        <w:rPr>
          <w:rFonts w:ascii="Arial" w:hAnsi="Arial" w:cs="Arial"/>
          <w:i/>
        </w:rPr>
        <w:t>vizuelnih sredstava</w:t>
      </w:r>
      <w:r w:rsidRPr="007B6B9D">
        <w:rPr>
          <w:rFonts w:ascii="Arial" w:hAnsi="Arial" w:cs="Arial"/>
        </w:rPr>
        <w:t xml:space="preserve"> (grafički prikaz/slike, predmeti, modeli) koji olakšavaju razumijevanje. Potom, </w:t>
      </w:r>
      <w:r w:rsidRPr="007B6B9D">
        <w:rPr>
          <w:rFonts w:ascii="Arial" w:hAnsi="Arial" w:cs="Arial"/>
          <w:lang w:val="uz-Cyrl-UZ"/>
        </w:rPr>
        <w:t xml:space="preserve">jezičko preoblikovanje radnoga materijala, </w:t>
      </w:r>
      <w:r w:rsidRPr="007B6B9D">
        <w:rPr>
          <w:rFonts w:ascii="Arial" w:hAnsi="Arial" w:cs="Arial"/>
        </w:rPr>
        <w:t xml:space="preserve">Koristiti </w:t>
      </w:r>
      <w:r w:rsidRPr="007B6B9D">
        <w:rPr>
          <w:rFonts w:ascii="Arial" w:hAnsi="Arial" w:cs="Arial"/>
          <w:i/>
        </w:rPr>
        <w:t>naglašavanje ključnih riječi</w:t>
      </w:r>
      <w:r w:rsidRPr="007B6B9D">
        <w:rPr>
          <w:rFonts w:ascii="Arial" w:hAnsi="Arial" w:cs="Arial"/>
          <w:lang w:val="uz-Cyrl-UZ"/>
        </w:rPr>
        <w:t xml:space="preserve">, </w:t>
      </w:r>
      <w:r w:rsidRPr="007B6B9D">
        <w:rPr>
          <w:rStyle w:val="bodytext"/>
          <w:rFonts w:ascii="Arial" w:hAnsi="Arial" w:cs="Arial"/>
          <w:lang w:val="uz-Cyrl-UZ"/>
        </w:rPr>
        <w:t>pisane dopune usmenim instrukcijama, zadacima i smjernicama</w:t>
      </w:r>
      <w:r w:rsidRPr="007B6B9D">
        <w:rPr>
          <w:rFonts w:ascii="Arial" w:hAnsi="Arial" w:cs="Arial"/>
          <w:bCs/>
          <w:lang w:val="uz-Cyrl-UZ"/>
        </w:rPr>
        <w:t xml:space="preserve">, </w:t>
      </w:r>
      <w:r w:rsidRPr="007B6B9D">
        <w:rPr>
          <w:rFonts w:ascii="Arial" w:hAnsi="Arial" w:cs="Arial"/>
        </w:rPr>
        <w:t xml:space="preserve">što više vizuelnih sredstava (grafički prikaz/slike, predmeti, modeli), </w:t>
      </w:r>
      <w:r w:rsidRPr="007B6B9D">
        <w:rPr>
          <w:rFonts w:ascii="Arial" w:hAnsi="Arial" w:cs="Arial"/>
          <w:lang w:val="uz-Cyrl-UZ"/>
        </w:rPr>
        <w:t xml:space="preserve">multimedijalni materijal, računar. </w:t>
      </w:r>
      <w:r w:rsidRPr="007B6B9D">
        <w:rPr>
          <w:rFonts w:ascii="Arial" w:hAnsi="Arial" w:cs="Arial"/>
        </w:rPr>
        <w:t xml:space="preserve">Razdvojiti cjelinu na više manjih djelova. </w:t>
      </w:r>
    </w:p>
    <w:p w:rsidR="0078541C" w:rsidRPr="007B6B9D" w:rsidRDefault="0078541C" w:rsidP="007B6B9D">
      <w:pPr>
        <w:spacing w:line="360" w:lineRule="auto"/>
        <w:ind w:firstLine="720"/>
        <w:jc w:val="both"/>
        <w:rPr>
          <w:rFonts w:cstheme="minorHAnsi"/>
          <w:lang w:val="uz-Cyrl-UZ"/>
        </w:rPr>
      </w:pPr>
    </w:p>
    <w:sectPr w:rsidR="0078541C" w:rsidRPr="007B6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B2" w:rsidRDefault="008B04B2" w:rsidP="0078541C">
      <w:pPr>
        <w:spacing w:after="0" w:line="240" w:lineRule="auto"/>
      </w:pPr>
      <w:r>
        <w:separator/>
      </w:r>
    </w:p>
  </w:endnote>
  <w:endnote w:type="continuationSeparator" w:id="0">
    <w:p w:rsidR="008B04B2" w:rsidRDefault="008B04B2" w:rsidP="0078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B2" w:rsidRDefault="008B04B2" w:rsidP="0078541C">
      <w:pPr>
        <w:spacing w:after="0" w:line="240" w:lineRule="auto"/>
      </w:pPr>
      <w:r>
        <w:separator/>
      </w:r>
    </w:p>
  </w:footnote>
  <w:footnote w:type="continuationSeparator" w:id="0">
    <w:p w:rsidR="008B04B2" w:rsidRDefault="008B04B2" w:rsidP="0078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1AC"/>
    <w:multiLevelType w:val="hybridMultilevel"/>
    <w:tmpl w:val="BB0EBE2C"/>
    <w:lvl w:ilvl="0" w:tplc="468A8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2D050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C10CE"/>
    <w:multiLevelType w:val="hybridMultilevel"/>
    <w:tmpl w:val="C3701356"/>
    <w:lvl w:ilvl="0" w:tplc="1F962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92D05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02C25"/>
    <w:multiLevelType w:val="hybridMultilevel"/>
    <w:tmpl w:val="9932A23A"/>
    <w:lvl w:ilvl="0" w:tplc="FDEAC6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B027C"/>
    <w:multiLevelType w:val="hybridMultilevel"/>
    <w:tmpl w:val="AF7E2B72"/>
    <w:lvl w:ilvl="0" w:tplc="F7A8A3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92D05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8631D"/>
    <w:multiLevelType w:val="hybridMultilevel"/>
    <w:tmpl w:val="68760D04"/>
    <w:lvl w:ilvl="0" w:tplc="C3ECC25A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  <w:b/>
        <w:color w:val="92D050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410BA3"/>
    <w:multiLevelType w:val="hybridMultilevel"/>
    <w:tmpl w:val="174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41387"/>
    <w:multiLevelType w:val="hybridMultilevel"/>
    <w:tmpl w:val="D1067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D60232"/>
    <w:multiLevelType w:val="hybridMultilevel"/>
    <w:tmpl w:val="550E8BB8"/>
    <w:lvl w:ilvl="0" w:tplc="752A5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2D050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A0374"/>
    <w:multiLevelType w:val="hybridMultilevel"/>
    <w:tmpl w:val="4492E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C"/>
    <w:rsid w:val="0032242D"/>
    <w:rsid w:val="0078541C"/>
    <w:rsid w:val="007B6B9D"/>
    <w:rsid w:val="008B04B2"/>
    <w:rsid w:val="00A100B6"/>
    <w:rsid w:val="00B504EC"/>
    <w:rsid w:val="00C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316B-6D00-4173-80E9-FB03827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1C"/>
    <w:pPr>
      <w:spacing w:line="252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78541C"/>
    <w:pPr>
      <w:spacing w:after="120" w:line="480" w:lineRule="auto"/>
      <w:ind w:left="360"/>
    </w:pPr>
    <w:rPr>
      <w:rFonts w:ascii="Calibri" w:eastAsia="Calibri" w:hAnsi="Calibri" w:cs="Calibri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541C"/>
    <w:rPr>
      <w:rFonts w:ascii="Calibri" w:eastAsia="Calibri" w:hAnsi="Calibri" w:cs="Calibri"/>
      <w:lang w:val="en-GB"/>
    </w:rPr>
  </w:style>
  <w:style w:type="character" w:customStyle="1" w:styleId="NoSpacingChar">
    <w:name w:val="No Spacing Char"/>
    <w:link w:val="NoSpacing"/>
    <w:uiPriority w:val="1"/>
    <w:locked/>
    <w:rsid w:val="0078541C"/>
    <w:rPr>
      <w:rFonts w:ascii="Calibri" w:eastAsia="Times New Roman" w:hAnsi="Calibri" w:cs="Times New Roman"/>
      <w:lang w:val="en-GB"/>
    </w:rPr>
  </w:style>
  <w:style w:type="paragraph" w:styleId="NoSpacing">
    <w:name w:val="No Spacing"/>
    <w:link w:val="NoSpacingChar"/>
    <w:uiPriority w:val="1"/>
    <w:qFormat/>
    <w:rsid w:val="0078541C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locked/>
    <w:rsid w:val="0078541C"/>
    <w:rPr>
      <w:rFonts w:ascii="Times New Roman" w:eastAsia="Times New Roman" w:hAnsi="Times New Roman" w:cs="Times New Roman"/>
      <w:lang w:val="sr-Latn-CS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78541C"/>
    <w:pPr>
      <w:ind w:left="720"/>
    </w:pPr>
    <w:rPr>
      <w:rFonts w:ascii="Times New Roman" w:eastAsia="Times New Roman" w:hAnsi="Times New Roman" w:cs="Times New Roman"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4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41C"/>
    <w:rPr>
      <w:i/>
      <w:iCs/>
      <w:color w:val="5B9BD5" w:themeColor="accent1"/>
      <w:lang w:val="de-AT"/>
    </w:rPr>
  </w:style>
  <w:style w:type="character" w:styleId="FootnoteReference">
    <w:name w:val="footnote reference"/>
    <w:aliases w:val="ftref,Footnote text,Ref. de nota al pie1,BVI fnr,16 Point,Superscript 6 Point,Footnote symbol,-E Fußnotenzeichen"/>
    <w:uiPriority w:val="99"/>
    <w:semiHidden/>
    <w:unhideWhenUsed/>
    <w:rsid w:val="0078541C"/>
    <w:rPr>
      <w:vertAlign w:val="superscript"/>
    </w:rPr>
  </w:style>
  <w:style w:type="character" w:customStyle="1" w:styleId="bodytext">
    <w:name w:val="bodytext"/>
    <w:basedOn w:val="DefaultParagraphFont"/>
    <w:rsid w:val="0078541C"/>
  </w:style>
  <w:style w:type="paragraph" w:styleId="Title">
    <w:name w:val="Title"/>
    <w:basedOn w:val="Normal"/>
    <w:next w:val="Normal"/>
    <w:link w:val="TitleChar"/>
    <w:uiPriority w:val="10"/>
    <w:qFormat/>
    <w:rsid w:val="007854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4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AT"/>
    </w:rPr>
  </w:style>
  <w:style w:type="character" w:customStyle="1" w:styleId="Bodytext0">
    <w:name w:val="Body text_"/>
    <w:rsid w:val="0078541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5A4E6A510C4897475B495B53E1EE" ma:contentTypeVersion="0" ma:contentTypeDescription="Create a new document." ma:contentTypeScope="" ma:versionID="6a144bd931d3c81e951a3a744456e8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9541E9-A305-492B-8BE8-F170F6B75FC8}"/>
</file>

<file path=customXml/itemProps2.xml><?xml version="1.0" encoding="utf-8"?>
<ds:datastoreItem xmlns:ds="http://schemas.openxmlformats.org/officeDocument/2006/customXml" ds:itemID="{9DF25E6D-FEB8-4C65-8F74-0D3A65FE84C5}"/>
</file>

<file path=customXml/itemProps3.xml><?xml version="1.0" encoding="utf-8"?>
<ds:datastoreItem xmlns:ds="http://schemas.openxmlformats.org/officeDocument/2006/customXml" ds:itemID="{913B9265-9683-463B-8310-D788A2E1A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2022-11-01T07:55:00Z</dcterms:created>
  <dcterms:modified xsi:type="dcterms:W3CDTF">2022-11-01T08:13:00Z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0x0101008C3E5A4E6A510C4897475B495B53E1EE</vt:lpwstr>
  </property>
</Properties>
</file>